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XSpec="righ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2268"/>
        <w:gridCol w:w="12616"/>
      </w:tblGrid>
      <w:tr w:rsidR="00F34E3A" w:rsidRPr="006E5DE5" w:rsidTr="00C9027F">
        <w:tc>
          <w:tcPr>
            <w:tcW w:w="14884" w:type="dxa"/>
            <w:gridSpan w:val="2"/>
            <w:shd w:val="clear" w:color="auto" w:fill="F2F2F2" w:themeFill="background1" w:themeFillShade="F2"/>
          </w:tcPr>
          <w:p w:rsidR="00F34E3A" w:rsidRPr="006E5DE5" w:rsidRDefault="00F34E3A" w:rsidP="00C9027F">
            <w:pPr>
              <w:spacing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34E3A" w:rsidRPr="006E5DE5" w:rsidTr="00C9027F">
        <w:tc>
          <w:tcPr>
            <w:tcW w:w="14884" w:type="dxa"/>
            <w:gridSpan w:val="2"/>
            <w:shd w:val="clear" w:color="auto" w:fill="F2F2F2" w:themeFill="background1" w:themeFillShade="F2"/>
          </w:tcPr>
          <w:p w:rsidR="00F34E3A" w:rsidRPr="006E5DE5" w:rsidRDefault="00F34E3A" w:rsidP="00C9027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6E5DE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STRATEGIE E METODOLOGIE PER RECUPERO</w:t>
            </w:r>
            <w:bookmarkEnd w:id="0"/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INTERDISCI</w:t>
            </w:r>
            <w:r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591068"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PLINARIETÀ</w:t>
            </w:r>
          </w:p>
        </w:tc>
        <w:tc>
          <w:tcPr>
            <w:tcW w:w="12616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E’ una metodologia didattica che consiste nell’esaminare la realtà nelle interrelazioni di tutti i suoi elementi, superando in tal modo la tradizionale visione settorializzata delle discipline. Ad esempio, l’analisi di un ambiente storico-sociale viene effettuata coinvolgendo in modo interattivo e dinamico più discipline, come la storia, la geografia e gli studi sociali, in modo tale da favorire nell’alunno una conoscenza globale più ampia e profonda e, perciò, più significativa.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ROLE PLAYING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16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Il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role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playing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(gioco o interpretazione dei ruoli) consiste nella simulazione dei comportamenti e degli atteggiamenti adottati generalmente nella vita reale. Gli studenti devono assumere i ruoli assegnati dall’insegnante e comportarsi come pensano che si comporterebbero realmente nella situazione data. Questa tecnica ha, pertanto, l’obiettivo di far acquisire la capacità di impersonare un ruolo e di comprendere in profondità ciò che il ruolo richiede. Il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role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playing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non è la ripetizione di un copione, ma una vera e propria recita a soggetto. Riguarda i comportamenti degli individui nelle relazioni interpersonali in precise situazioni operative per scoprire come le persone possono reagire in tali circostanze. Il docente è tenuto a rispettare gli studenti nelle loro scelte e reazioni senza giudicare.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Come ogni tecnica di sensibilizzazione utilizzata a scopi formativi, anche il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role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playing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deve essere utilizzato come tale (a scopi formativi), deve avere delle sequenze strutturate e deve concludersi con una verifica degli apprendimenti.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b/>
                <w:sz w:val="24"/>
                <w:szCs w:val="24"/>
              </w:rPr>
              <w:t>COOPERATIVE LEARNING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16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L’apprendimento cooperativo è un metodo didattico-educativo di apprendimento costituito dalla cooperazione fra gli studenti, ciascuno dei quali mette a disposizione del gruppo il suo sapere e le sue competenze. Apprendere in gruppo si rivela molto efficace non solo sul piano cognitivo, ma anche per quanto riguarda l’attivazione dei positivi processi socio-relazionali, ciascun componente, infatti, accresce la propria autostima, si responsabilizza nei processi di apprendimento, cresce nelle abilità sociali, imparando a cooperare per il conseguimento di un obiettivo comune. A seconda dell’attività da svolgere, il docente può creare lui stesso i gruppi, che potranno essere di livello, di compito, elettivi, misti, oppure lasciare gli studenti liberi di unirsi in gruppo.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CIRCLE TIME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16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Il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circle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time è considerato una delle metodologie più efficaci nell’educazione socio-affettiva. I partecipanti si dispongono in cerchio con un conduttore che ha il ruolo di sollecitare e coordinare il dibattito entro un termine temporale prefissato. La successione degli interventi secondo l’ordine del cerchio va rigorosamente rispettata. Il conduttore assume il ruolo di interlocutore privilegiato nel porre domande o nel fornire risposte. Il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circle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time facilita e sviluppa la comunicazione circolare, favorisce la conoscenza di </w:t>
            </w:r>
            <w:proofErr w:type="spellStart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sè</w:t>
            </w:r>
            <w:proofErr w:type="spellEnd"/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promuove la libera e attiva espressione delle idee, delle opinioni, dei sentimenti e dei vissuti 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personali e, infine, crea un clima di serenità e di condivisione facilitante la costituzione di un qualsiasi nuovo gruppo di lavoro o preliminare a qualunque successiva attività.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Style w:val="Enfasigrassetto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METODO EURISTICO</w:t>
            </w: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16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L’euristica è l’arte della ricerca, cioè quella parte della scienza che si occupa di scoprire i fatti, ciò che succede. In pedagogia il metodo euristico è anche conosciuto come il metodo della scoperta e consiste nel condurre gradualmente l’alunno a scoprire da solo ciò che si desidera egli conosca mediante un costante ed attivo suo coinvolgimento nei percorsi di ricerca e d’interpretazione. Così operando, l’alunno padroneggia le conoscenze acquisite ed è in grado di utilizzarle nelle fasi di apprendimento successivo.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b/>
                <w:sz w:val="24"/>
                <w:szCs w:val="24"/>
              </w:rPr>
              <w:t>PROBLEM SOLVING</w:t>
            </w:r>
          </w:p>
          <w:p w:rsidR="00F34E3A" w:rsidRPr="00591068" w:rsidRDefault="00F34E3A" w:rsidP="00C9027F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16" w:type="dxa"/>
          </w:tcPr>
          <w:p w:rsidR="00F34E3A" w:rsidRPr="00974890" w:rsidRDefault="00F34E3A" w:rsidP="00C9027F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l’insieme di tutti i metodi e le tecniche di soluzione dei problemi e delle relative strategie da mettere in atto. Per problema (dal greco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pròblema</w:t>
            </w:r>
            <w:proofErr w:type="spell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proballo</w:t>
            </w:r>
            <w:proofErr w:type="spell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avanti, propongo) si intende:</w:t>
            </w:r>
          </w:p>
          <w:p w:rsidR="00F34E3A" w:rsidRPr="00974890" w:rsidRDefault="00F34E3A" w:rsidP="00F34E3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gram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questione da risolvere partendo da elementi noti mediante il ragionamento</w:t>
            </w:r>
          </w:p>
          <w:p w:rsidR="00F34E3A" w:rsidRPr="00974890" w:rsidRDefault="00F34E3A" w:rsidP="00F34E3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problema di aritmetica, di geometria, di algebra. I dati del problema sono in questo caso gli elementi noti</w:t>
            </w:r>
          </w:p>
          <w:p w:rsidR="00F34E3A" w:rsidRPr="00974890" w:rsidRDefault="00F34E3A" w:rsidP="00F34E3A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gram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questione, situazione difficile o complessa di cui si cerca la soluzione (circolare in auto è un problema).</w:t>
            </w:r>
          </w:p>
          <w:p w:rsidR="00F34E3A" w:rsidRPr="00974890" w:rsidRDefault="00F34E3A" w:rsidP="00C9027F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tal proposito è indispensabile che il problema sia ben posto (eventualmente in seguito ad una sua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-formulazione) e sia stato ben compreso (vedere </w:t>
            </w:r>
            <w:proofErr w:type="spellStart"/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591068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BRAIN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91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STORMING</w:t>
            </w:r>
          </w:p>
        </w:tc>
        <w:tc>
          <w:tcPr>
            <w:tcW w:w="12616" w:type="dxa"/>
          </w:tcPr>
          <w:p w:rsidR="00F34E3A" w:rsidRPr="00974890" w:rsidRDefault="00F34E3A" w:rsidP="00C9027F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E' un mediatore didattico attraverso il quale un gruppo di lavoro, di fronte a stimoli successive posti secondo determinati criteri, fornisce risposte conseguenti alla percezione di aspetti non considerati in precedenza in una situazione problematica complessa, contribuendo così all'individuazione dei veri problemi.</w:t>
            </w:r>
            <w:r w:rsidRPr="0059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Risulta assai utile nell'affrontare situazioni complesse quando non occorra adottare un processo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strettamente logico e concatenato di analisi e quando tutti sono interessati alla problematica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>affrontare nel mondo del lavoro per ricercare soluzioni "creative" e non scontate a problemi complessi.</w:t>
            </w:r>
          </w:p>
          <w:p w:rsidR="00F34E3A" w:rsidRPr="00974890" w:rsidRDefault="00F34E3A" w:rsidP="00C9027F">
            <w:pPr>
              <w:widowControl w:val="0"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gruppo classe, possibilmente disposto a semicerchio per favorire la comunicazione, viene sollecitato dall'insegnante, che deve esporre con chiarezza il problema e i relativi obiettivi che si vogliono raggiungere con quella attività, a comunicare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idee che lo stimolo provoca.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AC6400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color w:val="212021"/>
                <w:sz w:val="24"/>
                <w:szCs w:val="24"/>
                <w:lang w:val="en-US" w:eastAsia="it-IT"/>
              </w:rPr>
            </w:pPr>
            <w:r w:rsidRPr="00702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PEER LEARNING (O PEER EDUCATION</w:t>
            </w:r>
            <w:r w:rsidRPr="00AC6400">
              <w:rPr>
                <w:rFonts w:ascii="Times New Roman" w:eastAsia="Times New Roman" w:hAnsi="Times New Roman" w:cs="Times New Roman"/>
                <w:b/>
                <w:color w:val="212021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12616" w:type="dxa"/>
          </w:tcPr>
          <w:p w:rsidR="00F34E3A" w:rsidRPr="00AC6400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P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 xml:space="preserve">eer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 o P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eer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education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, che letteralmente significa 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educazione tra pari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: un cambio di prospettiva che vede i più giovani al centro del sistema educativo. Gli obiettivi di questo sistema sono diversi: si va dal 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potenziamento delle abilità individuali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 degli studenti alla 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prevenzione di comportamenti socialmente negativi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 (come il bullismo) attraverso meccanismi di influenza sociale ed emozionale.</w:t>
            </w:r>
          </w:p>
          <w:p w:rsidR="00F34E3A" w:rsidRPr="00AC6400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lastRenderedPageBreak/>
              <w:t xml:space="preserve">Il principio base del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peer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learning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è che la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 conoscenza si trasmetta tra “pari grado”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, cioè tra persone simili, per età, status e problematiche: il che le rende, agli occhi di chi impara, interlocutori credibili e affidabili, degni di rispetto. Il primo passo in un progetto di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peer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learning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è dunque proprio quello di individuare questi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peer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, cioè questi pari grado, che non hanno ruolo di insegnanti nei confronti dei loro coetanei, bensì di tutor, persone con cui intraprendere uno scambio attivo di idee ed esperienze.</w:t>
            </w:r>
          </w:p>
          <w:p w:rsidR="00F34E3A" w:rsidRPr="00AC6400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Questo metodo non annulla in alcun modo l’autorità degli adulti (insegnanti, formatori, educatori), che anzi nella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peer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education</w:t>
            </w:r>
            <w:proofErr w:type="spellEnd"/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hanno un ruolo di supervisori e di </w:t>
            </w:r>
            <w:r w:rsidRPr="00AC6400"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  <w:t>facilitatori</w:t>
            </w:r>
            <w:r w:rsidRPr="00AC6400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 dell’interazione tra giovani.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807E56" w:rsidRDefault="00F34E3A" w:rsidP="00C90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07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FLIPPED CLASSROOM</w:t>
            </w:r>
          </w:p>
          <w:p w:rsidR="00F34E3A" w:rsidRPr="00807E56" w:rsidRDefault="00F34E3A" w:rsidP="00C90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07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(LA CLASSE CAPOVOLTA)</w:t>
            </w:r>
          </w:p>
          <w:p w:rsidR="00F34E3A" w:rsidRPr="00807E56" w:rsidRDefault="00F34E3A" w:rsidP="00C90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34E3A" w:rsidRPr="00807E56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F34E3A" w:rsidRPr="00807E5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L’idea-base della «</w:t>
            </w:r>
            <w:proofErr w:type="spellStart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flipped</w:t>
            </w:r>
            <w:proofErr w:type="spellEnd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classroom</w:t>
            </w:r>
            <w:proofErr w:type="spellEnd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» è che la lezione diventa compito a casa mentre il tempo in classe è usato per attività collaborative, </w:t>
            </w:r>
            <w:proofErr w:type="spellStart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esperien-ze</w:t>
            </w:r>
            <w:proofErr w:type="spellEnd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, dibattiti e laboratori. In questo contesto, il docente non assume il ruolo di attore protagonista, diventa piuttosto una sorta di “</w:t>
            </w:r>
            <w:proofErr w:type="spellStart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mentor</w:t>
            </w:r>
            <w:proofErr w:type="spellEnd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”, il regista dell’azione pedagogica.</w:t>
            </w:r>
          </w:p>
          <w:p w:rsidR="00F34E3A" w:rsidRPr="00807E5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Nel tempo a casa viene fatto largo uso di video e altre risorse e-</w:t>
            </w:r>
            <w:proofErr w:type="gramStart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learning </w:t>
            </w:r>
            <w:r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come</w:t>
            </w:r>
            <w:proofErr w:type="gramEnd"/>
            <w:r w:rsidRPr="00807E5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contenuti da studiare, mentre in classe gli studenti sperimentano, collaborano, svolgono attività laboratoriali.</w:t>
            </w:r>
          </w:p>
          <w:p w:rsidR="00F34E3A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Cs/>
                <w:color w:val="212021"/>
                <w:sz w:val="24"/>
                <w:szCs w:val="24"/>
                <w:lang w:eastAsia="it-IT"/>
              </w:rPr>
            </w:pPr>
          </w:p>
        </w:tc>
      </w:tr>
      <w:tr w:rsidR="00F34E3A" w:rsidRPr="00591068" w:rsidTr="00C9027F">
        <w:trPr>
          <w:trHeight w:val="1470"/>
        </w:trPr>
        <w:tc>
          <w:tcPr>
            <w:tcW w:w="2268" w:type="dxa"/>
          </w:tcPr>
          <w:p w:rsidR="00F34E3A" w:rsidRPr="003806BD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0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DIDATTICA INDIVIDUALIZZATA</w:t>
            </w:r>
          </w:p>
          <w:p w:rsidR="00F34E3A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34E3A" w:rsidRPr="00702740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16" w:type="dxa"/>
          </w:tcPr>
          <w:p w:rsidR="00F34E3A" w:rsidRPr="004069FD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556808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Consiste nelle attività di recupero individuale che può svolgere l’alunno per potenziare determinate abilità o per acquisire specifiche competenze, anche nell’ambito delle strategie compensative e del metodo di studio; tali </w:t>
            </w:r>
            <w:proofErr w:type="gramStart"/>
            <w:r w:rsidRPr="00556808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attività  individualizzate</w:t>
            </w:r>
            <w:proofErr w:type="gramEnd"/>
            <w:r w:rsidRPr="00556808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possono essere realizzate nelle fasi di lavoro in classe o in momenti ad esse dedicati, secondo tutte le forme di flessibilità del lavoro scolastico consentite dalla normativa vigente.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Pr="003806BD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68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DIDATTICA PERSONALIZZATA</w:t>
            </w:r>
          </w:p>
        </w:tc>
        <w:tc>
          <w:tcPr>
            <w:tcW w:w="12616" w:type="dxa"/>
          </w:tcPr>
          <w:p w:rsidR="00F34E3A" w:rsidRPr="00776C76" w:rsidRDefault="00F34E3A" w:rsidP="00C902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Calibra l’offerta didattica e le modalità relazionali sulla specificità ed unicità a livello personale dei bisogni educativi che caratterizzano gli alunni della 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classe ,considerando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la differenze individuali soprattutto sotto il profilo qualitativo.</w:t>
            </w:r>
          </w:p>
          <w:p w:rsidR="00F34E3A" w:rsidRPr="00556808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Si 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può  favorire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così.</w:t>
            </w:r>
            <w:r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.l’accrescimento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dei punti di forza  di ciascun alunno,</w:t>
            </w:r>
            <w:r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</w:t>
            </w: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lo sviluppo consapevole delle sue preferenze e del suo talento</w:t>
            </w:r>
          </w:p>
        </w:tc>
      </w:tr>
      <w:tr w:rsidR="00F34E3A" w:rsidRPr="00591068" w:rsidTr="00C9027F">
        <w:tc>
          <w:tcPr>
            <w:tcW w:w="2268" w:type="dxa"/>
          </w:tcPr>
          <w:p w:rsidR="00F34E3A" w:rsidRDefault="00F34E3A" w:rsidP="00C9027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STRUMENTI COMPENSATIVI</w:t>
            </w:r>
          </w:p>
          <w:p w:rsidR="00F34E3A" w:rsidRPr="00702740" w:rsidRDefault="00F34E3A" w:rsidP="00C9027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</w:tcPr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Gli strumenti compensativi sono strumenti didattici e tecnologici che sostituiscono o facilitano la prestazione richiesta nell’abilità deficitaria. Fra i più noti indichiamo: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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la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sintesi vocale, che trasforma un compito di lettura in un compito di ascolto;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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il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registratore, che consente all’alunno o allo studente di non scrivere gli appunti della lezione;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lastRenderedPageBreak/>
              <w:t>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i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programmi di video scrittura con correttore ortografico, che permettono la produzione di testi sufficientemente corretti senza l’affaticamento della rilettura e della contestuale correzione degli errori;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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la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calcolatrice, che facilita le operazioni di calcolo;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</w:t>
            </w:r>
            <w:proofErr w:type="gramStart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>altri</w:t>
            </w:r>
            <w:proofErr w:type="gramEnd"/>
            <w:r w:rsidRPr="00776C76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 strumenti tecnologicamente meno evoluti quali tabelle, formulari, mappe concettuali, etc. </w:t>
            </w:r>
          </w:p>
          <w:p w:rsidR="00F34E3A" w:rsidRPr="00556808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</w:p>
        </w:tc>
      </w:tr>
      <w:tr w:rsidR="00F34E3A" w:rsidRPr="008347FE" w:rsidTr="00C9027F">
        <w:tc>
          <w:tcPr>
            <w:tcW w:w="2268" w:type="dxa"/>
          </w:tcPr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21202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12021"/>
                <w:sz w:val="24"/>
                <w:szCs w:val="24"/>
                <w:lang w:eastAsia="it-IT"/>
              </w:rPr>
              <w:lastRenderedPageBreak/>
              <w:t>MISURE DISPENSATIVE</w:t>
            </w:r>
          </w:p>
        </w:tc>
        <w:tc>
          <w:tcPr>
            <w:tcW w:w="12616" w:type="dxa"/>
          </w:tcPr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347FE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Le misure dispensative sono interventi che consentono all’alunno o allo studente di non svolgere alcune prestazioni che, a causa del disturbo, risultano particolarmente difficoltose e che non migliorano l’apprendimento. </w:t>
            </w:r>
          </w:p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347FE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-Evitare la lettura di brani lunghi </w:t>
            </w:r>
          </w:p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347FE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-Consentire un maggior tempo per eseguire attività o svolgere una prova </w:t>
            </w:r>
          </w:p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347FE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-Ridurre o dispensare dalla scrittura sotto dettatura </w:t>
            </w:r>
          </w:p>
          <w:p w:rsidR="00F34E3A" w:rsidRPr="008347FE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  <w:r w:rsidRPr="008347FE"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  <w:t xml:space="preserve">-Non pretendere che si debba prendere appunti </w:t>
            </w:r>
          </w:p>
          <w:p w:rsidR="00F34E3A" w:rsidRPr="00776C76" w:rsidRDefault="00F34E3A" w:rsidP="00C9027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12021"/>
                <w:sz w:val="24"/>
                <w:szCs w:val="24"/>
                <w:lang w:eastAsia="it-IT"/>
              </w:rPr>
            </w:pPr>
          </w:p>
        </w:tc>
      </w:tr>
    </w:tbl>
    <w:p w:rsidR="00E025DB" w:rsidRDefault="00E025DB"/>
    <w:sectPr w:rsidR="00E025DB" w:rsidSect="00F34E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952F3"/>
    <w:multiLevelType w:val="hybridMultilevel"/>
    <w:tmpl w:val="E32A74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ED"/>
    <w:rsid w:val="00E025DB"/>
    <w:rsid w:val="00EB1FED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9D14-3B11-4F62-87EC-5164B533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E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34E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34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Company>HP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2018-01-30T13:47:00Z</dcterms:created>
  <dcterms:modified xsi:type="dcterms:W3CDTF">2018-01-30T13:47:00Z</dcterms:modified>
</cp:coreProperties>
</file>